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6D" w:rsidRDefault="00A7216D" w:rsidP="00A7216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C7607C" w:rsidRPr="00A7216D" w:rsidRDefault="00E22C8B" w:rsidP="00A7216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Wymagania edukacyjne z histor</w:t>
      </w:r>
      <w:r w:rsidR="00A7216D">
        <w:rPr>
          <w:rFonts w:ascii="Century Gothic" w:hAnsi="Century Gothic"/>
          <w:b/>
          <w:sz w:val="20"/>
          <w:szCs w:val="20"/>
        </w:rPr>
        <w:t>ii dla klasy 7 na podstawie treści zawartych w podstawie program</w:t>
      </w:r>
      <w:r>
        <w:rPr>
          <w:rFonts w:ascii="Century Gothic" w:hAnsi="Century Gothic"/>
          <w:b/>
          <w:sz w:val="20"/>
          <w:szCs w:val="20"/>
        </w:rPr>
        <w:t xml:space="preserve">owej oraz programie </w:t>
      </w:r>
      <w:r>
        <w:rPr>
          <w:rFonts w:ascii="Century Gothic" w:hAnsi="Century Gothic"/>
          <w:b/>
          <w:sz w:val="20"/>
          <w:szCs w:val="20"/>
        </w:rPr>
        <w:br/>
        <w:t>nauczania h</w:t>
      </w:r>
      <w:r w:rsidR="00A7216D">
        <w:rPr>
          <w:rFonts w:ascii="Century Gothic" w:hAnsi="Century Gothic"/>
          <w:b/>
          <w:sz w:val="20"/>
          <w:szCs w:val="20"/>
        </w:rPr>
        <w:t>istorii w szkole  podstawowej Wczoraj i dziś</w:t>
      </w:r>
      <w:r w:rsidR="00A7216D">
        <w:rPr>
          <w:rFonts w:ascii="Century Gothic" w:hAnsi="Century Gothic"/>
          <w:b/>
          <w:i/>
          <w:sz w:val="20"/>
          <w:szCs w:val="20"/>
        </w:rPr>
        <w:br/>
      </w:r>
      <w:r w:rsidR="00A7216D">
        <w:rPr>
          <w:rFonts w:ascii="Century Gothic" w:hAnsi="Century Gothic"/>
          <w:b/>
          <w:sz w:val="20"/>
          <w:szCs w:val="20"/>
        </w:rPr>
        <w:br/>
        <w:t>Nauczyciel: mgr Jolanta Dziubińska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ideologie: liberalizm, konserwatyzm,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Wiosna Ludów w Europie na przykładzie Prus, Austrii, Węgier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na mapiepaństwa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i w państwach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Wolnego Miasta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Królestwa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zaborze austriackim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rozwój gospodarczy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konspiracja,kaliszanie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</w:t>
            </w:r>
            <w:proofErr w:type="spellStart"/>
            <w:r w:rsidR="00D408A8">
              <w:rPr>
                <w:rFonts w:cs="Humanst521EU-Normal"/>
                <w:sz w:val="20"/>
                <w:szCs w:val="20"/>
              </w:rPr>
              <w:t>postacie:</w:t>
            </w:r>
            <w:r w:rsidR="009428AA">
              <w:rPr>
                <w:rFonts w:cs="Humanst521EU-Normal"/>
                <w:sz w:val="20"/>
                <w:szCs w:val="20"/>
              </w:rPr>
              <w:t>Henriego</w:t>
            </w:r>
            <w:proofErr w:type="spellEnd"/>
            <w:r w:rsidR="009428AA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którepodlegały kolonizacjipod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Darwina, Marii Skłodowskiej-Curie, Ludwika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Pasteura,</w:t>
            </w:r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postacie:Henryka Sienkiewicza, Bolesława Prusa, Władysława Reymonta, Elizy Orzeszkowej, Jana Matejki, Marii Konopnickiej,Stanisława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opisuje okolicznościpowstania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proofErr w:type="spellStart"/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 xml:space="preserve">awia przebieg 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działalność Ligi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lastRenderedPageBreak/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r w:rsidRPr="000C67C6">
              <w:rPr>
                <w:rFonts w:cs="Humanst521EU-Normal"/>
                <w:sz w:val="20"/>
                <w:szCs w:val="20"/>
              </w:rPr>
              <w:t>Austrii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odrodzonej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koncepcje państwa R.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LucjanaŻeligowskiego,Wincentego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sposób Polska przyłączyła ziemię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 xml:space="preserve">cud nad 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lastRenderedPageBreak/>
              <w:t>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Śląska Cieszyńskiego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Narutowicza na prezydenta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Piłsudskiego,Romana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Dmowskiego,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Gabriela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 xml:space="preserve">a </w:t>
            </w:r>
            <w:r w:rsidR="00F57C17" w:rsidRPr="000C67C6">
              <w:rPr>
                <w:rFonts w:cs="Humanst521EU-Normal"/>
                <w:sz w:val="20"/>
                <w:szCs w:val="20"/>
              </w:rPr>
              <w:lastRenderedPageBreak/>
              <w:t>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Rzeczypospolitej wobec mniejszości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strukturę społeczną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które powstały w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osiągnięcia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pakt Ribbentrop–Mołotow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które na mocy paktu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DD" w:rsidRDefault="009B37DD" w:rsidP="00254330">
      <w:pPr>
        <w:spacing w:after="0" w:line="240" w:lineRule="auto"/>
      </w:pPr>
      <w:r>
        <w:separator/>
      </w:r>
    </w:p>
  </w:endnote>
  <w:endnote w:type="continuationSeparator" w:id="1">
    <w:p w:rsidR="009B37DD" w:rsidRDefault="009B37D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C51B80" w:rsidRDefault="007950AA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1B4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DD" w:rsidRDefault="009B37DD" w:rsidP="00254330">
      <w:pPr>
        <w:spacing w:after="0" w:line="240" w:lineRule="auto"/>
      </w:pPr>
      <w:r>
        <w:separator/>
      </w:r>
    </w:p>
  </w:footnote>
  <w:footnote w:type="continuationSeparator" w:id="1">
    <w:p w:rsidR="009B37DD" w:rsidRDefault="009B37D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950AA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1B4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216D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40D3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22C8B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1013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40</Pages>
  <Words>11344</Words>
  <Characters>68068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HP</cp:lastModifiedBy>
  <cp:revision>390</cp:revision>
  <dcterms:created xsi:type="dcterms:W3CDTF">2020-04-13T13:27:00Z</dcterms:created>
  <dcterms:modified xsi:type="dcterms:W3CDTF">2023-12-29T02:14:00Z</dcterms:modified>
</cp:coreProperties>
</file>