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A2" w:rsidRPr="00BC06A2" w:rsidRDefault="00BC06A2" w:rsidP="00BC06A2">
      <w:pPr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b/>
          <w:i/>
          <w:sz w:val="20"/>
          <w:szCs w:val="20"/>
          <w:lang w:eastAsia="sk-SK"/>
        </w:rPr>
      </w:pPr>
      <w:bookmarkStart w:id="0" w:name="_GoBack"/>
      <w:bookmarkEnd w:id="0"/>
      <w:r w:rsidRPr="00BC06A2">
        <w:rPr>
          <w:rFonts w:eastAsia="Times New Roman" w:cstheme="minorHAnsi"/>
          <w:b/>
          <w:i/>
          <w:sz w:val="20"/>
          <w:szCs w:val="20"/>
          <w:lang w:eastAsia="sk-SK"/>
        </w:rPr>
        <w:t>Príslušná legislatíva:</w:t>
      </w:r>
    </w:p>
    <w:p w:rsidR="00BC06A2" w:rsidRPr="00347978" w:rsidRDefault="00347978" w:rsidP="00347978">
      <w:pPr>
        <w:numPr>
          <w:ilvl w:val="0"/>
          <w:numId w:val="1"/>
        </w:numPr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bCs/>
          <w:i/>
          <w:sz w:val="20"/>
          <w:lang w:eastAsia="sk-SK"/>
        </w:rPr>
      </w:pPr>
      <w:r w:rsidRPr="00347978">
        <w:rPr>
          <w:rStyle w:val="Siln"/>
          <w:b w:val="0"/>
          <w:i/>
          <w:sz w:val="20"/>
          <w:shd w:val="clear" w:color="auto" w:fill="FFFFFF"/>
        </w:rPr>
        <w:t xml:space="preserve">Zverejnenie </w:t>
      </w:r>
      <w:r>
        <w:rPr>
          <w:rStyle w:val="Siln"/>
          <w:b w:val="0"/>
          <w:i/>
          <w:sz w:val="20"/>
          <w:shd w:val="clear" w:color="auto" w:fill="FFFFFF"/>
        </w:rPr>
        <w:t xml:space="preserve">programov vzdelávania § 69 ods. 1 písm. b) zákona </w:t>
      </w:r>
      <w:r w:rsidRPr="00347978">
        <w:rPr>
          <w:rStyle w:val="Siln"/>
          <w:b w:val="0"/>
          <w:i/>
          <w:sz w:val="20"/>
          <w:shd w:val="clear" w:color="auto" w:fill="FFFFFF"/>
        </w:rPr>
        <w:t xml:space="preserve">č.138/2019 </w:t>
      </w:r>
      <w:proofErr w:type="spellStart"/>
      <w:r w:rsidRPr="00347978">
        <w:rPr>
          <w:rStyle w:val="Siln"/>
          <w:b w:val="0"/>
          <w:i/>
          <w:sz w:val="20"/>
          <w:shd w:val="clear" w:color="auto" w:fill="FFFFFF"/>
        </w:rPr>
        <w:t>Z.z</w:t>
      </w:r>
      <w:proofErr w:type="spellEnd"/>
      <w:r w:rsidRPr="00347978">
        <w:rPr>
          <w:rStyle w:val="Siln"/>
          <w:b w:val="0"/>
          <w:i/>
          <w:sz w:val="20"/>
          <w:shd w:val="clear" w:color="auto" w:fill="FFFFFF"/>
        </w:rPr>
        <w:t>. o pedagogických zamestnancoch a odborných zamestnancoch</w:t>
      </w:r>
    </w:p>
    <w:p w:rsidR="00347978" w:rsidRPr="00347978" w:rsidRDefault="00347978" w:rsidP="00347978">
      <w:pPr>
        <w:numPr>
          <w:ilvl w:val="0"/>
          <w:numId w:val="1"/>
        </w:numPr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i/>
          <w:sz w:val="20"/>
          <w:lang w:eastAsia="sk-SK"/>
        </w:rPr>
      </w:pPr>
      <w:r w:rsidRPr="00BC06A2">
        <w:rPr>
          <w:rFonts w:eastAsia="Times New Roman" w:cstheme="minorHAnsi"/>
          <w:bCs/>
          <w:i/>
          <w:iCs/>
          <w:sz w:val="20"/>
          <w:lang w:eastAsia="sk-SK"/>
        </w:rPr>
        <w:t>Zákon č. 138/2019 Z. z. o pedagogických zamestnancoch a odborných zamestnancoch a o zmene a doplnení niektorých zákonov   </w:t>
      </w:r>
    </w:p>
    <w:p w:rsid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0"/>
          <w:lang w:eastAsia="sk-SK"/>
        </w:rPr>
      </w:pPr>
    </w:p>
    <w:p w:rsidR="00347978" w:rsidRPr="00347978" w:rsidRDefault="00347978" w:rsidP="00347978">
      <w:pPr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b/>
          <w:bCs/>
          <w:lang w:eastAsia="sk-SK"/>
        </w:rPr>
      </w:pPr>
    </w:p>
    <w:p w:rsidR="00347978" w:rsidRPr="00347978" w:rsidRDefault="00347978" w:rsidP="003479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sk-SK"/>
        </w:rPr>
      </w:pPr>
      <w:r w:rsidRPr="00347978">
        <w:rPr>
          <w:rFonts w:eastAsia="Times New Roman" w:cstheme="minorHAnsi"/>
          <w:b/>
          <w:bCs/>
          <w:lang w:eastAsia="sk-SK"/>
        </w:rPr>
        <w:t>Adaptačné vzdelávanie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sk-SK"/>
        </w:rPr>
      </w:pPr>
      <w:r w:rsidRPr="00347978">
        <w:rPr>
          <w:rFonts w:eastAsia="Times New Roman" w:cstheme="minorHAnsi"/>
          <w:b/>
          <w:bCs/>
          <w:lang w:eastAsia="sk-SK"/>
        </w:rPr>
        <w:t>§ 51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(1)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 xml:space="preserve">Cieľom adaptačného vzdelávania je získanie profesijných kompetencií potrebných na výkon pracovnej činnosti v </w:t>
      </w:r>
      <w:proofErr w:type="spellStart"/>
      <w:r w:rsidRPr="00347978">
        <w:rPr>
          <w:rFonts w:eastAsia="Times New Roman" w:cstheme="minorHAnsi"/>
          <w:lang w:eastAsia="sk-SK"/>
        </w:rPr>
        <w:t>kariérovom</w:t>
      </w:r>
      <w:proofErr w:type="spellEnd"/>
      <w:r w:rsidRPr="00347978">
        <w:rPr>
          <w:rFonts w:eastAsia="Times New Roman" w:cstheme="minorHAnsi"/>
          <w:lang w:eastAsia="sk-SK"/>
        </w:rPr>
        <w:t xml:space="preserve"> stupni samostatný pedagogický zamestnanec a samostatný odborný zamestnanec.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(2)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Poskytovateľom adaptačného vzdelávania je škola, školské zariadenie, zariadenie sociálnej pomoci a organizácia zriadená ministerstvom školstva.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(3)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Ak ide o výkon pracovnej činnosti pre najmenej dvoch zamestnávateľov, začínajúci pedagogický zamestnanec alebo začínajúci odborný zamestnanec si zvolí poskytovateľa adaptačného vzdelávania. Začínajúci pedagogický zamestnanec pracoviska praktického vyučovania absolvuje adaptačné vzdelávanie v škole, s ktorou má zamestnávateľ uzatvorenú zmluvu o duálnom vzdelávaní.</w:t>
      </w:r>
      <w:hyperlink r:id="rId5" w:anchor="poznamky.poznamka-31" w:tooltip="Odkaz na predpis alebo ustanovenie" w:history="1">
        <w:r w:rsidRPr="00347978">
          <w:rPr>
            <w:rFonts w:eastAsia="Times New Roman" w:cstheme="minorHAnsi"/>
            <w:i/>
            <w:iCs/>
            <w:vertAlign w:val="superscript"/>
            <w:lang w:eastAsia="sk-SK"/>
          </w:rPr>
          <w:t>31</w:t>
        </w:r>
        <w:r w:rsidRPr="00347978">
          <w:rPr>
            <w:rFonts w:eastAsia="Times New Roman" w:cstheme="minorHAnsi"/>
            <w:i/>
            <w:iCs/>
            <w:lang w:eastAsia="sk-SK"/>
          </w:rPr>
          <w:t>)</w:t>
        </w:r>
      </w:hyperlink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(4)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Adaptačné vzdelávanie sa organizuje ako jednoduchý program adaptačného vzdelávania. Program adaptačného vzdelávania schvaľuje riaditeľ alebo štatutárny zástupca organizácie zriadenej ministerstvom školstva.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(5)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 xml:space="preserve">Odborným garantom adaptačného vzdelávania je riaditeľ alebo učiteľ profesijného rozvoja zaradený do </w:t>
      </w:r>
      <w:proofErr w:type="spellStart"/>
      <w:r w:rsidRPr="00347978">
        <w:rPr>
          <w:rFonts w:eastAsia="Times New Roman" w:cstheme="minorHAnsi"/>
          <w:lang w:eastAsia="sk-SK"/>
        </w:rPr>
        <w:t>podkategórie</w:t>
      </w:r>
      <w:proofErr w:type="spellEnd"/>
      <w:r w:rsidRPr="00347978">
        <w:rPr>
          <w:rFonts w:eastAsia="Times New Roman" w:cstheme="minorHAnsi"/>
          <w:lang w:eastAsia="sk-SK"/>
        </w:rPr>
        <w:t xml:space="preserve"> metodik profesijného rozvoja. Odborným garantom adaptačného vzdelávania v zariadení sociálnej pomoci je pedagogický zamestnanec s prvou atestáciou alebo odborný zamestnanec s prvou atestáciou.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(6)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Začínajúceho pedagogického zamestnanca a začínajúceho odborného zamestnanca zaradí riaditeľ do adaptačného vzdelávania najneskôr do piatich dní od vzniku pracovného pomeru bez ohľadu na splnenie kvalifikačných predpokladov začínajúceho pedagogického zamestnanca alebo začínajúceho odborného zamestnanca.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sk-SK"/>
        </w:rPr>
      </w:pPr>
      <w:r w:rsidRPr="00347978">
        <w:rPr>
          <w:rFonts w:eastAsia="Times New Roman" w:cstheme="minorHAnsi"/>
          <w:b/>
          <w:bCs/>
          <w:lang w:eastAsia="sk-SK"/>
        </w:rPr>
        <w:t>§ 52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(1)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Adaptačné vzdelávanie sa ukončuje na základe odporúčania uvádzajúceho pedagogického zamestnanca alebo uvádzajúceho odborného zamestnanca pred trojčlennou skúšobnou komisiou podľa programu adaptačného vzdelávania.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(2)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Uvádzajúci pedagogický zamestnanec alebo uvádzajúci odborný zamestnanec písomne neodporučí ukončenie adaptačného vzdelávania, ak začínajúci pedagogický zamestnanec alebo začínajúci odborný zamestnanec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a) absolvoval menej ako 75 % programu adaptačného vzdelávania alebo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 xml:space="preserve">b) preukázateľne nezískal profesijné kompetencie potrebné na výkon pracovnej činnosti v </w:t>
      </w:r>
      <w:proofErr w:type="spellStart"/>
      <w:r w:rsidRPr="00347978">
        <w:rPr>
          <w:rFonts w:eastAsia="Times New Roman" w:cstheme="minorHAnsi"/>
          <w:lang w:eastAsia="sk-SK"/>
        </w:rPr>
        <w:t>kariérovom</w:t>
      </w:r>
      <w:proofErr w:type="spellEnd"/>
      <w:r w:rsidRPr="00347978">
        <w:rPr>
          <w:rFonts w:eastAsia="Times New Roman" w:cstheme="minorHAnsi"/>
          <w:lang w:eastAsia="sk-SK"/>
        </w:rPr>
        <w:t xml:space="preserve"> stupni samostatný pedagogický zamestnanec alebo samostatný odborný zamestnanec.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(3)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 xml:space="preserve">Členom skúšobnej komisie je uvádzajúci pedagogický zamestnanec alebo uvádzajúci odborný zamestnanec a ďalší pedagogický zamestnanec alebo odborný zamestnanec zaradený najmenej do </w:t>
      </w:r>
      <w:proofErr w:type="spellStart"/>
      <w:r w:rsidRPr="00347978">
        <w:rPr>
          <w:rFonts w:eastAsia="Times New Roman" w:cstheme="minorHAnsi"/>
          <w:lang w:eastAsia="sk-SK"/>
        </w:rPr>
        <w:t>kariérového</w:t>
      </w:r>
      <w:proofErr w:type="spellEnd"/>
      <w:r w:rsidRPr="00347978">
        <w:rPr>
          <w:rFonts w:eastAsia="Times New Roman" w:cstheme="minorHAnsi"/>
          <w:lang w:eastAsia="sk-SK"/>
        </w:rPr>
        <w:t xml:space="preserve"> stupňa samostatný pedagogický zamestnanec alebo samostatný odborný zamestnanec, ktorého vymenúva riaditeľ. Predsedom skúšobnej komisie je odborný garant. Ak nie je možné </w:t>
      </w:r>
      <w:r w:rsidRPr="00347978">
        <w:rPr>
          <w:rFonts w:eastAsia="Times New Roman" w:cstheme="minorHAnsi"/>
          <w:lang w:eastAsia="sk-SK"/>
        </w:rPr>
        <w:lastRenderedPageBreak/>
        <w:t>vymenovať členov skúšobnej komisie riaditeľom, vymenuje ich zriaďovateľ školy alebo školského zariadenia.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(4)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 xml:space="preserve">Ak ide o adaptačné vzdelávanie poskytované organizáciou zriadenou ministerstvom školstva, členom a predsedom skúšobnej komisie môže byť učiteľ profesijného rozvoja zaradený do </w:t>
      </w:r>
      <w:proofErr w:type="spellStart"/>
      <w:r w:rsidRPr="00347978">
        <w:rPr>
          <w:rFonts w:eastAsia="Times New Roman" w:cstheme="minorHAnsi"/>
          <w:lang w:eastAsia="sk-SK"/>
        </w:rPr>
        <w:t>podkategórie</w:t>
      </w:r>
      <w:proofErr w:type="spellEnd"/>
      <w:r w:rsidRPr="00347978">
        <w:rPr>
          <w:rFonts w:eastAsia="Times New Roman" w:cstheme="minorHAnsi"/>
          <w:lang w:eastAsia="sk-SK"/>
        </w:rPr>
        <w:t xml:space="preserve"> metodik profesijného rozvoja. Predsedu a členov skúšobnej komisie vymenúva štatutárny orgán organizácie zriadenej ministerstvom školstva.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(5)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O ukončení adaptačného vzdelávania sa vyhotovuje protokol. Protokol obsahuje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a) evidenčné číslo protokolu a dátum ukončenia adaptačného vzdelávania,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b) titul, meno, priezvisko a rodné priezvisko pedagogického zamestnanca alebo odborného zamestnanca,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c) dátum a miesto narodenia pedagogického zamestnanca alebo odborného zamestnanca,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d) názov programu adaptačného vzdelávania a rozsah vzdelávania v hodinách,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e) výsledok ukončenia adaptačného vzdelávania,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f) podpis predsedu skúšobnej komisie a podpisy členov skúšobnej komisie,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g) odtlačok pečiatky poskytovateľa a podpis štatutárneho zástupcu poskytovateľa.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(6)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Začínajúci pedagogický zamestnanec a začínajúci odborný zamestnanec, ktorý ukončil adaptačné vzdelávanie neúspešne, môže požiadať o vykonanie adaptačného vzdelávania organizáciu zriadenú ministerstvom školstva.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(7)</w:t>
      </w:r>
    </w:p>
    <w:p w:rsidR="00347978" w:rsidRPr="00347978" w:rsidRDefault="00347978" w:rsidP="0034797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47978">
        <w:rPr>
          <w:rFonts w:eastAsia="Times New Roman" w:cstheme="minorHAnsi"/>
          <w:lang w:eastAsia="sk-SK"/>
        </w:rPr>
        <w:t>Ak je poskytovateľom adaptačného vzdelávania organizácia zriadená ministerstvom školstva, pedagogický zamestnanec a odborný zamestnanec sa preukáže zamestnávateľovi potvrdením o zaradení do adaptačného vzdelávania; po úspešnom ukončení adaptačného vzdelávania predloží protokol.</w:t>
      </w:r>
    </w:p>
    <w:p w:rsidR="00347978" w:rsidRPr="00347978" w:rsidRDefault="00347978" w:rsidP="00347978">
      <w:pPr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b/>
          <w:bCs/>
          <w:color w:val="000000"/>
          <w:szCs w:val="20"/>
          <w:lang w:eastAsia="sk-SK"/>
        </w:rPr>
      </w:pPr>
    </w:p>
    <w:p w:rsidR="00BC06A2" w:rsidRPr="00BC06A2" w:rsidRDefault="00BC06A2" w:rsidP="00BC06A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Cs w:val="20"/>
          <w:lang w:eastAsia="sk-SK"/>
        </w:rPr>
      </w:pPr>
      <w:r w:rsidRPr="00BC06A2">
        <w:rPr>
          <w:rFonts w:eastAsia="Times New Roman" w:cstheme="minorHAnsi"/>
          <w:b/>
          <w:bCs/>
          <w:color w:val="000000"/>
          <w:szCs w:val="20"/>
          <w:lang w:eastAsia="sk-SK"/>
        </w:rPr>
        <w:t>§ 57</w:t>
      </w:r>
    </w:p>
    <w:p w:rsidR="00BC06A2" w:rsidRPr="00BC06A2" w:rsidRDefault="00BC06A2" w:rsidP="00BC06A2">
      <w:pPr>
        <w:spacing w:after="0" w:line="240" w:lineRule="auto"/>
        <w:jc w:val="center"/>
        <w:rPr>
          <w:rFonts w:eastAsia="Times New Roman" w:cstheme="minorHAnsi"/>
          <w:szCs w:val="20"/>
          <w:lang w:eastAsia="sk-SK"/>
        </w:rPr>
      </w:pPr>
      <w:r w:rsidRPr="00BC06A2">
        <w:rPr>
          <w:rFonts w:eastAsia="Times New Roman" w:cstheme="minorHAnsi"/>
          <w:b/>
          <w:bCs/>
          <w:color w:val="000000"/>
          <w:szCs w:val="20"/>
          <w:lang w:eastAsia="sk-SK"/>
        </w:rPr>
        <w:t>Aktualizačné vzdelávanie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>(1)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94949"/>
          <w:szCs w:val="20"/>
          <w:lang w:eastAsia="sk-SK"/>
        </w:rPr>
      </w:pPr>
      <w:r w:rsidRPr="00BC06A2">
        <w:rPr>
          <w:rFonts w:eastAsia="Times New Roman" w:cstheme="minorHAnsi"/>
          <w:color w:val="494949"/>
          <w:szCs w:val="20"/>
          <w:lang w:eastAsia="sk-SK"/>
        </w:rPr>
        <w:t>Cieľom aktualizačného vzdelávania je podľa potrieb zriaďovateľa, školy, školského zariadenia alebo zariadenia sociálnej pomoci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 xml:space="preserve">a) </w:t>
      </w:r>
      <w:r w:rsidRPr="00BC06A2">
        <w:rPr>
          <w:rFonts w:eastAsia="Times New Roman" w:cstheme="minorHAnsi"/>
          <w:color w:val="494949"/>
          <w:szCs w:val="20"/>
          <w:lang w:eastAsia="sk-SK"/>
        </w:rPr>
        <w:t>udržiavanie alebo obnovovanie profesijných kompetencií potrebných na výkon pracovnej činnosti,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 xml:space="preserve">b) </w:t>
      </w:r>
      <w:r w:rsidRPr="00BC06A2">
        <w:rPr>
          <w:rFonts w:eastAsia="Times New Roman" w:cstheme="minorHAnsi"/>
          <w:color w:val="494949"/>
          <w:szCs w:val="20"/>
          <w:lang w:eastAsia="sk-SK"/>
        </w:rPr>
        <w:t>získanie nových vedomostí a informácií o zmenách v právnych predpisoch, výchovno-vzdelávacích programoch, pedagogickej dokumentácii a ďalšej dokumentácii alebo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94949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 xml:space="preserve">c) </w:t>
      </w:r>
      <w:r w:rsidRPr="00BC06A2">
        <w:rPr>
          <w:rFonts w:eastAsia="Times New Roman" w:cstheme="minorHAnsi"/>
          <w:color w:val="494949"/>
          <w:szCs w:val="20"/>
          <w:lang w:eastAsia="sk-SK"/>
        </w:rPr>
        <w:t>získanie nových vedomostí a zručností v konkrétnej oblasti pracovnej činnosti.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>(2)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94949"/>
          <w:szCs w:val="20"/>
          <w:lang w:eastAsia="sk-SK"/>
        </w:rPr>
      </w:pPr>
      <w:r w:rsidRPr="00BC06A2">
        <w:rPr>
          <w:rFonts w:eastAsia="Times New Roman" w:cstheme="minorHAnsi"/>
          <w:color w:val="494949"/>
          <w:szCs w:val="20"/>
          <w:lang w:eastAsia="sk-SK"/>
        </w:rPr>
        <w:t>Poskytovateľom aktualizačného vzdelávania je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 xml:space="preserve">a) </w:t>
      </w:r>
      <w:r w:rsidRPr="00BC06A2">
        <w:rPr>
          <w:rFonts w:eastAsia="Times New Roman" w:cstheme="minorHAnsi"/>
          <w:color w:val="494949"/>
          <w:szCs w:val="20"/>
          <w:lang w:eastAsia="sk-SK"/>
        </w:rPr>
        <w:t>škola,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 xml:space="preserve">b) </w:t>
      </w:r>
      <w:r w:rsidRPr="00BC06A2">
        <w:rPr>
          <w:rFonts w:eastAsia="Times New Roman" w:cstheme="minorHAnsi"/>
          <w:color w:val="494949"/>
          <w:szCs w:val="20"/>
          <w:lang w:eastAsia="sk-SK"/>
        </w:rPr>
        <w:t>školské zariadenie,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 xml:space="preserve">c) </w:t>
      </w:r>
      <w:r w:rsidRPr="00BC06A2">
        <w:rPr>
          <w:rFonts w:eastAsia="Times New Roman" w:cstheme="minorHAnsi"/>
          <w:color w:val="494949"/>
          <w:szCs w:val="20"/>
          <w:lang w:eastAsia="sk-SK"/>
        </w:rPr>
        <w:t>zariadenie sociálnej pomoci,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94949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 xml:space="preserve">d) </w:t>
      </w:r>
      <w:r w:rsidRPr="00BC06A2">
        <w:rPr>
          <w:rFonts w:eastAsia="Times New Roman" w:cstheme="minorHAnsi"/>
          <w:color w:val="494949"/>
          <w:szCs w:val="20"/>
          <w:lang w:eastAsia="sk-SK"/>
        </w:rPr>
        <w:t>zriaďovateľ školy bez právnej subjektivity alebo školského zariadenia bez právnej subjektivity.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>(3)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94949"/>
          <w:szCs w:val="20"/>
          <w:lang w:eastAsia="sk-SK"/>
        </w:rPr>
      </w:pPr>
      <w:r w:rsidRPr="00BC06A2">
        <w:rPr>
          <w:rFonts w:eastAsia="Times New Roman" w:cstheme="minorHAnsi"/>
          <w:color w:val="494949"/>
          <w:szCs w:val="20"/>
          <w:lang w:eastAsia="sk-SK"/>
        </w:rPr>
        <w:t>Aktualizačné vzdelávanie sa organizuje ako schválený jednoduchý program aktualizačného vzdelávania v rozsahu najmenej 10 hodín za školský rok a najviac 24 hodín za školský rok. Program aktualizačného vzdelávania a rozsah aktualizačného vzdelávania schvaľuje riaditeľ. Škola, školské zariadenie a zariadenie sociálnej pomoci v závislosti od svojich potrieb upraví rozsah aktualizačného vzdelávania vo vnútornom predpise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>(4)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94949"/>
          <w:szCs w:val="20"/>
          <w:lang w:eastAsia="sk-SK"/>
        </w:rPr>
      </w:pPr>
      <w:r w:rsidRPr="00BC06A2">
        <w:rPr>
          <w:rFonts w:eastAsia="Times New Roman" w:cstheme="minorHAnsi"/>
          <w:color w:val="494949"/>
          <w:szCs w:val="20"/>
          <w:lang w:eastAsia="sk-SK"/>
        </w:rPr>
        <w:t>Škola, školské zariadenie, zariadenie sociálnej pomoci a zriaďovateľ môže pri organizovaní aktualizačného vzdelávania spolupracovať s poskytovateľom inovačného vzdelávania v oblasti, v ktorej má poskytovateľ inovačného vzdelávania oprávnenie na poskytovanie inovačného vzdelávania.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lastRenderedPageBreak/>
        <w:t>(5)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94949"/>
          <w:szCs w:val="20"/>
          <w:lang w:eastAsia="sk-SK"/>
        </w:rPr>
      </w:pPr>
      <w:r w:rsidRPr="00BC06A2">
        <w:rPr>
          <w:rFonts w:eastAsia="Times New Roman" w:cstheme="minorHAnsi"/>
          <w:color w:val="494949"/>
          <w:szCs w:val="20"/>
          <w:lang w:eastAsia="sk-SK"/>
        </w:rPr>
        <w:t>Odborným garantom aktualizačného vzdelávania je pedagogický zamestnanec školy, školského zariadenia alebo zariadenia sociálnej pomoci s druhou atestáciou alebo odborný zamestnanec školy, školského zariadenia alebo zariadenia sociálnej pomoci s druhou atestáciou. Ak v škole, školskom zariadení alebo v zariadení sociálnej pomoci nie je pedagogický zamestnanec s druhou atestáciou alebo odborný zamestnanec s druhou atestáciou, odborným garantom aktualizačného vzdelávania je riaditeľ, vedúci pedagogický zamestnanec alebo vedúci odborný zamestnanec.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>(6)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94949"/>
          <w:szCs w:val="20"/>
          <w:lang w:eastAsia="sk-SK"/>
        </w:rPr>
      </w:pPr>
      <w:r w:rsidRPr="00BC06A2">
        <w:rPr>
          <w:rFonts w:eastAsia="Times New Roman" w:cstheme="minorHAnsi"/>
          <w:color w:val="494949"/>
          <w:szCs w:val="20"/>
          <w:lang w:eastAsia="sk-SK"/>
        </w:rPr>
        <w:t>Škola, školské zariadenie alebo zariadenie sociálnej pomoci s počtom pedagogických zamestnancov alebo odborných zamestnancov nižším ako desať sa môže pri poskytovaní aktualizačného vzdelávania spojiť s inou školou, školským zariadením alebo so zariadením sociálnej pomoci; odborný garant sa určí dohodou riaditeľov.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>(7)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94949"/>
          <w:szCs w:val="20"/>
          <w:lang w:eastAsia="sk-SK"/>
        </w:rPr>
      </w:pPr>
      <w:r w:rsidRPr="00BC06A2">
        <w:rPr>
          <w:rFonts w:eastAsia="Times New Roman" w:cstheme="minorHAnsi"/>
          <w:color w:val="494949"/>
          <w:szCs w:val="20"/>
          <w:lang w:eastAsia="sk-SK"/>
        </w:rPr>
        <w:t>Odborný garant aktualizačného vzdelávania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>a)</w:t>
      </w:r>
      <w:r w:rsidRPr="00BC06A2">
        <w:rPr>
          <w:rFonts w:eastAsia="Times New Roman" w:cstheme="minorHAnsi"/>
          <w:color w:val="494949"/>
          <w:szCs w:val="20"/>
          <w:lang w:eastAsia="sk-SK"/>
        </w:rPr>
        <w:t>predkladá riaditeľovi na schválenie program aktualizačného vzdelávania,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>b)</w:t>
      </w:r>
      <w:r w:rsidRPr="00BC06A2">
        <w:rPr>
          <w:rFonts w:eastAsia="Times New Roman" w:cstheme="minorHAnsi"/>
          <w:color w:val="494949"/>
          <w:szCs w:val="20"/>
          <w:lang w:eastAsia="sk-SK"/>
        </w:rPr>
        <w:t>rozvrhuje vzdelávacie aktivity aktualizačného vzdelávania v súlade s potrebami a možnosťami školy, školského zariadenia alebo zariadenia sociálnej pomoci,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94949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>c)</w:t>
      </w:r>
      <w:r w:rsidRPr="00BC06A2">
        <w:rPr>
          <w:rFonts w:eastAsia="Times New Roman" w:cstheme="minorHAnsi"/>
          <w:color w:val="494949"/>
          <w:szCs w:val="20"/>
          <w:lang w:eastAsia="sk-SK"/>
        </w:rPr>
        <w:t>vedie evidenciu účasti pedagogických zamestnancov a odborných zamestnancov na aktualizačnom vzdelávaní.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>(8)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94949"/>
          <w:szCs w:val="20"/>
          <w:lang w:eastAsia="sk-SK"/>
        </w:rPr>
      </w:pPr>
      <w:r w:rsidRPr="00BC06A2">
        <w:rPr>
          <w:rFonts w:eastAsia="Times New Roman" w:cstheme="minorHAnsi"/>
          <w:color w:val="494949"/>
          <w:szCs w:val="20"/>
          <w:lang w:eastAsia="sk-SK"/>
        </w:rPr>
        <w:t>Pedagogický zamestnanec alebo odborný zamestnanec školy, školského zariadenia alebo zariadenia sociálnej pomoci vykonáva lektorskú činnosť v aktualizačnom vzdelávaní súčasne s výkonom pracovnej činnosti.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>(9)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94949"/>
          <w:szCs w:val="20"/>
          <w:lang w:eastAsia="sk-SK"/>
        </w:rPr>
      </w:pPr>
      <w:r w:rsidRPr="00BC06A2">
        <w:rPr>
          <w:rFonts w:eastAsia="Times New Roman" w:cstheme="minorHAnsi"/>
          <w:color w:val="494949"/>
          <w:szCs w:val="20"/>
          <w:lang w:eastAsia="sk-SK"/>
        </w:rPr>
        <w:t>Riaditeľ na požiadanie vydá pedagogickému zamestnancovi alebo odbornému zamestnancovi potvrdenie o aktualizačnom vzdelávaní, ktoré obsahuje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 xml:space="preserve">a) </w:t>
      </w:r>
      <w:r w:rsidRPr="00BC06A2">
        <w:rPr>
          <w:rFonts w:eastAsia="Times New Roman" w:cstheme="minorHAnsi"/>
          <w:color w:val="494949"/>
          <w:szCs w:val="20"/>
          <w:lang w:eastAsia="sk-SK"/>
        </w:rPr>
        <w:t>evidenčné číslo potvrdenia a dátum vydania potvrdenia,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 xml:space="preserve">b) </w:t>
      </w:r>
      <w:r w:rsidRPr="00BC06A2">
        <w:rPr>
          <w:rFonts w:eastAsia="Times New Roman" w:cstheme="minorHAnsi"/>
          <w:color w:val="494949"/>
          <w:szCs w:val="20"/>
          <w:lang w:eastAsia="sk-SK"/>
        </w:rPr>
        <w:t>titul, meno, priezvisko a rodné priezvisko pedagogického zamestnanca alebo odborného zamestnanca,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 xml:space="preserve">c) </w:t>
      </w:r>
      <w:r w:rsidRPr="00BC06A2">
        <w:rPr>
          <w:rFonts w:eastAsia="Times New Roman" w:cstheme="minorHAnsi"/>
          <w:color w:val="494949"/>
          <w:szCs w:val="20"/>
          <w:lang w:eastAsia="sk-SK"/>
        </w:rPr>
        <w:t>dátum a miesto narodenia pedagogického zamestnanca alebo odborného zamestnanca,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 xml:space="preserve">d) </w:t>
      </w:r>
      <w:r w:rsidRPr="00BC06A2">
        <w:rPr>
          <w:rFonts w:eastAsia="Times New Roman" w:cstheme="minorHAnsi"/>
          <w:color w:val="494949"/>
          <w:szCs w:val="20"/>
          <w:lang w:eastAsia="sk-SK"/>
        </w:rPr>
        <w:t>obdobie, za ktoré sa potvrdenie o aktualizačnom vzdelávaní vydáva,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 xml:space="preserve">e) </w:t>
      </w:r>
      <w:r w:rsidRPr="00BC06A2">
        <w:rPr>
          <w:rFonts w:eastAsia="Times New Roman" w:cstheme="minorHAnsi"/>
          <w:color w:val="494949"/>
          <w:szCs w:val="20"/>
          <w:lang w:eastAsia="sk-SK"/>
        </w:rPr>
        <w:t>rozsah aktualizačného vzdelávania v hodinách,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 xml:space="preserve">f) </w:t>
      </w:r>
      <w:r w:rsidRPr="00BC06A2">
        <w:rPr>
          <w:rFonts w:eastAsia="Times New Roman" w:cstheme="minorHAnsi"/>
          <w:color w:val="494949"/>
          <w:szCs w:val="20"/>
          <w:lang w:eastAsia="sk-SK"/>
        </w:rPr>
        <w:t>odtlačok pečiatky školy, školského zariadenia alebo zariadenia sociálnej pomoci a podpis riaditeľa.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sk-SK"/>
        </w:rPr>
      </w:pPr>
      <w:r w:rsidRPr="00BC06A2">
        <w:rPr>
          <w:rFonts w:eastAsia="Times New Roman" w:cstheme="minorHAnsi"/>
          <w:color w:val="000000"/>
          <w:szCs w:val="20"/>
          <w:lang w:eastAsia="sk-SK"/>
        </w:rPr>
        <w:t>(10)</w:t>
      </w:r>
    </w:p>
    <w:p w:rsidR="00BC06A2" w:rsidRPr="00BC06A2" w:rsidRDefault="00BC06A2" w:rsidP="00BC06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94949"/>
          <w:szCs w:val="20"/>
          <w:lang w:eastAsia="sk-SK"/>
        </w:rPr>
      </w:pPr>
      <w:r w:rsidRPr="00BC06A2">
        <w:rPr>
          <w:rFonts w:eastAsia="Times New Roman" w:cstheme="minorHAnsi"/>
          <w:color w:val="494949"/>
          <w:szCs w:val="20"/>
          <w:lang w:eastAsia="sk-SK"/>
        </w:rPr>
        <w:t>V školách, v ktorých školským vzdelávacím programom je medzinárodný program, sa za aktualizačné vzdelávanie považujú vzdelávacie aktivity zamerané na prehlbovanie, zdokonaľovanie, rozširovanie a rozvíjanie profesijných kompetencií poskytované príslušnou medzinárodnou organizáciou.</w:t>
      </w:r>
    </w:p>
    <w:p w:rsidR="00223B42" w:rsidRPr="00BC06A2" w:rsidRDefault="00223B42">
      <w:pPr>
        <w:rPr>
          <w:rFonts w:cstheme="minorHAnsi"/>
          <w:sz w:val="20"/>
          <w:szCs w:val="20"/>
        </w:rPr>
      </w:pPr>
    </w:p>
    <w:sectPr w:rsidR="00223B42" w:rsidRPr="00BC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F1A04"/>
    <w:multiLevelType w:val="multilevel"/>
    <w:tmpl w:val="6BE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A2"/>
    <w:rsid w:val="00223B42"/>
    <w:rsid w:val="00347978"/>
    <w:rsid w:val="008716D4"/>
    <w:rsid w:val="00B36B6A"/>
    <w:rsid w:val="00B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E67CE-2100-43D3-B492-69E9704B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C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4797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47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2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42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41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958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249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11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030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608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20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795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6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68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183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1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04856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803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34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0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800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764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967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350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36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503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818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533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22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1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66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5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96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5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88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44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53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67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58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7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0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3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05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0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06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83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25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9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08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32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95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22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4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95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19/1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NTB20201</dc:creator>
  <cp:keywords/>
  <dc:description/>
  <cp:lastModifiedBy>NTB14</cp:lastModifiedBy>
  <cp:revision>2</cp:revision>
  <dcterms:created xsi:type="dcterms:W3CDTF">2023-05-09T08:16:00Z</dcterms:created>
  <dcterms:modified xsi:type="dcterms:W3CDTF">2023-05-09T08:16:00Z</dcterms:modified>
</cp:coreProperties>
</file>